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nsTitle"/>
        <w:widowControl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ПОЛОЖЕНИЕ</w:t>
      </w:r>
    </w:p>
    <w:p>
      <w:pPr>
        <w:pStyle w:val="ConsNormal"/>
        <w:widowControl/>
        <w:ind w:left="0" w:right="0" w:hanging="0"/>
        <w:jc w:val="center"/>
        <w:rPr>
          <w:rFonts w:cs="Times New Roman" w:ascii="Times New Roman" w:hAnsi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оплате труда работников</w:t>
      </w:r>
      <w:bookmarkStart w:id="0" w:name="_Hlk332552429"/>
      <w:r>
        <w:rPr>
          <w:rFonts w:cs="Times New Roman" w:ascii="Times New Roman" w:hAnsi="Times New Roman"/>
          <w:iCs/>
        </w:rPr>
        <w:t xml:space="preserve"> </w:t>
      </w:r>
      <w:bookmarkEnd w:id="0"/>
      <w:r>
        <w:rPr>
          <w:rFonts w:cs="Times New Roman" w:ascii="Times New Roman" w:hAnsi="Times New Roman"/>
          <w:b/>
          <w:iCs/>
          <w:sz w:val="24"/>
          <w:szCs w:val="24"/>
        </w:rPr>
        <w:t>ТСЖ</w:t>
      </w:r>
    </w:p>
    <w:p>
      <w:pPr>
        <w:pStyle w:val="ConsNormal"/>
        <w:widowControl/>
        <w:ind w:left="0" w:right="0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(с установлением надбавок, премий и доплат)</w:t>
      </w:r>
    </w:p>
    <w:p>
      <w:pPr>
        <w:pStyle w:val="ListParagraph"/>
        <w:ind w:left="360" w:right="0" w:hanging="0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ind w:left="0" w:right="0" w:hanging="360"/>
        <w:jc w:val="center"/>
        <w:rPr>
          <w:b/>
        </w:rPr>
      </w:pPr>
      <w:r>
        <w:rPr>
          <w:b/>
        </w:rPr>
        <w:t>Общие положения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Настоящее Положение разработано в соответствии с Жилищным Кодексом Российской Федерации, трудовым законодательством Российской Федерации, Уставом ТСЖ  (далее - «Товарищество») и предусматривает порядок и условия оплаты труда, материального стимулирования и поощрения, в том числе премирования работников Товарищества.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Положение об оплате Работников Товарищества  вводиться в целях повышения материальной заинтересованности работников в устойчивой и эффективной работе, организации по управлению общим имуществом в доме, качественному техническому обслуживанию дома, санитарного состояния жилищного фонда,  находящихся в обслуживании Товарищества.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Положение распространяется на лиц, осуществляющих в Товариществе трудовую деятельность на основании заключенных с Товариществом трудовых договоров, а также работающих в Товариществе по совместительству (далее - «Работники»), кроме работающих по заключенным договорам  гражданско-правового характера.</w:t>
      </w:r>
    </w:p>
    <w:p>
      <w:pPr>
        <w:pStyle w:val="ConsNormal"/>
        <w:widowControl/>
        <w:ind w:left="851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В настоящем положении:</w:t>
      </w:r>
    </w:p>
    <w:p>
      <w:pPr>
        <w:pStyle w:val="ConsNormal"/>
        <w:widowControl/>
        <w:ind w:left="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 под основным местом работы</w:t>
      </w:r>
      <w:r>
        <w:rPr>
          <w:rFonts w:cs="Times New Roman" w:ascii="Times New Roman" w:hAnsi="Times New Roman"/>
          <w:sz w:val="24"/>
          <w:szCs w:val="24"/>
        </w:rPr>
        <w:t xml:space="preserve"> понимается занятие работником должности в Товариществе в соответствии со Штатным расписанием и Трудовым договором, в случае, когда его трудовая книжка хранится в Товариществе;</w:t>
      </w:r>
    </w:p>
    <w:p>
      <w:pPr>
        <w:pStyle w:val="ConsNormal"/>
        <w:widowControl/>
        <w:ind w:left="0" w:right="0" w:hanging="0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- под совместительством </w:t>
      </w:r>
      <w:r>
        <w:rPr>
          <w:rFonts w:cs="Times New Roman" w:ascii="Times New Roman" w:hAnsi="Times New Roman"/>
          <w:sz w:val="24"/>
          <w:szCs w:val="24"/>
        </w:rPr>
        <w:t>понимается выполнение Работником регулярной оплачиваемой работы на условиях трудового договора в свободное от основной работы время (ст. 282 ТК РФ)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 В ТСЖ устанавливаются следующие выплаты работникам за их труд (заработная плата):</w:t>
      </w:r>
    </w:p>
    <w:p>
      <w:pPr>
        <w:pStyle w:val="ConsNormal"/>
        <w:widowControl/>
        <w:ind w:left="0" w:right="0" w:firstLine="540"/>
        <w:jc w:val="both"/>
        <w:rPr>
          <w:rFonts w:cs="Times New Roman" w:ascii="Times New Roman" w:hAnsi="Times New Roman"/>
          <w:sz w:val="24"/>
          <w:szCs w:val="24"/>
        </w:rPr>
      </w:pPr>
      <w:bookmarkStart w:id="1" w:name="_Hlk333438913"/>
      <w:bookmarkStart w:id="2" w:name="_Hlk333438879"/>
      <w:bookmarkEnd w:id="1"/>
      <w:r>
        <w:rPr>
          <w:rFonts w:cs="Times New Roman" w:ascii="Times New Roman" w:hAnsi="Times New Roman"/>
          <w:sz w:val="24"/>
          <w:szCs w:val="24"/>
        </w:rPr>
        <w:t>-    должностной оклад;</w:t>
      </w:r>
    </w:p>
    <w:p>
      <w:pPr>
        <w:pStyle w:val="ConsNormal"/>
        <w:widowControl/>
        <w:ind w:left="0" w:right="0" w:firstLine="54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  премия;</w:t>
      </w:r>
    </w:p>
    <w:p>
      <w:pPr>
        <w:pStyle w:val="ConsNormal"/>
        <w:widowControl/>
        <w:ind w:left="0" w:right="0" w:firstLine="54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 стимулирующие и поощрительные выплаты и доплаты за надлежащее выполнение работниками трудовых функций (ст. 129 ТК РФ).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 Общий контроль в Товариществе за начислением и своевременной выплатой заработной платы работникам осуществляет правление Товарищества, в том числе Председатель.</w:t>
      </w:r>
    </w:p>
    <w:p>
      <w:pPr>
        <w:pStyle w:val="ConsNormal"/>
        <w:widowControl/>
        <w:ind w:left="851" w:right="0" w:hanging="0"/>
        <w:jc w:val="both"/>
        <w:rPr>
          <w:rFonts w:cs="Times New Roman" w:ascii="Times New Roman" w:hAnsi="Times New Roman"/>
          <w:sz w:val="24"/>
          <w:szCs w:val="24"/>
        </w:rPr>
      </w:pPr>
      <w:bookmarkStart w:id="3" w:name="_Hlk333438879"/>
      <w:bookmarkEnd w:id="3"/>
      <w:r>
        <w:rPr>
          <w:rFonts w:cs="Times New Roman" w:ascii="Times New Roman" w:hAnsi="Times New Roman"/>
          <w:sz w:val="24"/>
          <w:szCs w:val="24"/>
        </w:rPr>
        <w:t>1.7. Выплата заработной платы в организации производится в денежной форме в рублях.</w:t>
      </w:r>
    </w:p>
    <w:p>
      <w:pPr>
        <w:pStyle w:val="Normal"/>
        <w:jc w:val="center"/>
        <w:rPr>
          <w:b/>
        </w:rPr>
      </w:pPr>
      <w:bookmarkStart w:id="4" w:name="_Hlk333438913"/>
      <w:bookmarkStart w:id="5" w:name="_Hlk333438913"/>
      <w:bookmarkEnd w:id="5"/>
      <w:r>
        <w:rPr>
          <w:b/>
        </w:rPr>
      </w:r>
    </w:p>
    <w:p>
      <w:pPr>
        <w:pStyle w:val="ConsNormal"/>
        <w:widowControl/>
        <w:numPr>
          <w:ilvl w:val="0"/>
          <w:numId w:val="1"/>
        </w:numPr>
        <w:shd w:fill="FFFFFF" w:val="clear"/>
        <w:jc w:val="center"/>
        <w:rPr>
          <w:rFonts w:cs="Times New Roman" w:ascii="Times New Roman" w:hAnsi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Система оплаты труда работников</w:t>
      </w:r>
    </w:p>
    <w:p>
      <w:pPr>
        <w:pStyle w:val="ConsNormal"/>
        <w:widowControl/>
        <w:shd w:fill="FFFFFF" w:val="clear"/>
        <w:ind w:left="0" w:right="0" w:firstLine="851"/>
        <w:jc w:val="both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 Под системой оплаты труда в настоящем Положении понимается способ исчисления размеров  вознаграждения, подлежащего выплате Работникам в соответствии  с произведёнными ими трудовыми затратами и результатами труда  (ст. 139 ТК РФ).</w:t>
      </w:r>
    </w:p>
    <w:p>
      <w:pPr>
        <w:pStyle w:val="ConsNormal"/>
        <w:widowControl/>
        <w:shd w:fill="FFFFFF" w:val="clear"/>
        <w:ind w:left="0" w:right="0" w:firstLine="851"/>
        <w:jc w:val="both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2.2. Для Работников в Товариществе устанавливается </w:t>
      </w:r>
      <w:bookmarkStart w:id="6" w:name="_Hlk333433564"/>
      <w:bookmarkStart w:id="7" w:name="_Hlk333433550"/>
      <w:r>
        <w:rPr>
          <w:rFonts w:cs="Times New Roman" w:ascii="Times New Roman" w:hAnsi="Times New Roman"/>
          <w:color w:val="000000"/>
          <w:sz w:val="24"/>
          <w:szCs w:val="24"/>
        </w:rPr>
        <w:t>повременно – премиальная</w:t>
      </w:r>
      <w:bookmarkEnd w:id="7"/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>система оплаты труда, которая предусматривает не только оплату отработанного времени, но и выплату премии за качество работы.</w:t>
      </w:r>
    </w:p>
    <w:p>
      <w:pPr>
        <w:pStyle w:val="ConsNormal"/>
        <w:widowControl/>
        <w:shd w:fill="FFFFFF" w:val="clear"/>
        <w:ind w:left="0" w:right="0" w:firstLine="851"/>
        <w:jc w:val="both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2.3. Повременно-премиальная система оплаты труда - форма оплаты труда, которая предполагает выплату Работникам Товарищества дополнительно к заработной плате ежемесячных премий в качестве материального поощрения за выполнение трудовых функций при соблюдении Работниками установленных показателей и норм должностной инструкции.</w:t>
      </w:r>
    </w:p>
    <w:p>
      <w:pPr>
        <w:pStyle w:val="Normal"/>
        <w:ind w:left="360" w:right="0" w:hanging="0"/>
        <w:jc w:val="center"/>
        <w:rPr>
          <w:b/>
        </w:rPr>
      </w:pPr>
      <w:r>
        <w:rPr>
          <w:b/>
        </w:rPr>
      </w:r>
    </w:p>
    <w:p>
      <w:pPr>
        <w:pStyle w:val="ConsNormal"/>
        <w:widowControl/>
        <w:numPr>
          <w:ilvl w:val="0"/>
          <w:numId w:val="1"/>
        </w:numPr>
        <w:jc w:val="center"/>
        <w:rPr>
          <w:rFonts w:cs="Times New Roman" w:ascii="Times New Roman" w:hAnsi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Заработная плата работников и порядок её исчисления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Заработная плата  Работников Товарищества  включает в себя следующие виды выплат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Должностной оклад – фиксированный размер оплаты труда Работника за выполнение норм труда или трудовых обязанностей определённой сложности или квалификации за единицу времени, предусмотренных Должностной инструкцией работника</w:t>
      </w:r>
      <w:r>
        <w:rPr>
          <w:rFonts w:eastAsia="Cambria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без учета компенсационных, стимулирующих либо иных выплат (ст. 129 ТК РФ).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3.1.1. Должностные оклады по должностям работников Товарищества устанавливаются в твёрдой сумме штатным расписанием,  в пределах фонда оплаты труда, утверждённого решением общего собрания членов Товарищества. 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3.1.2. Размер месячного должностного оклада Работника ТСЖ определяется в трудовом договоре с ним и не может быть ниже установленного федеральным законом минимального размера заработной платы (ст. 133 ТК РФ</w:t>
      </w:r>
      <w:r>
        <w:rPr>
          <w:rFonts w:cs="Times New Roman" w:ascii="Times New Roman" w:hAnsi="Times New Roman"/>
          <w:b/>
          <w:sz w:val="24"/>
          <w:szCs w:val="24"/>
        </w:rPr>
        <w:t>).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3.1.3. Размер месячного должностного оклада работника зависит от его квалификации, сложности выполняемой работы, количества и качества затраченного труда (ст. 132 ТК РФ).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3.1.4. В месячный должностной оклад не включаются доплаты, надбавки и премии, иные компенсационные и социальные выплаты (ст. 129 ТК РФ).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Премия </w:t>
      </w:r>
      <w:r>
        <w:rPr>
          <w:rFonts w:cs="Times New Roman" w:ascii="Times New Roman" w:hAnsi="Times New Roman"/>
          <w:b/>
          <w:sz w:val="24"/>
          <w:szCs w:val="24"/>
        </w:rPr>
        <w:t>–</w:t>
      </w:r>
      <w:r>
        <w:rPr>
          <w:rFonts w:cs="Times New Roman" w:ascii="Times New Roman" w:hAnsi="Times New Roman"/>
          <w:sz w:val="24"/>
          <w:szCs w:val="24"/>
        </w:rPr>
        <w:t xml:space="preserve"> дополнительно к должностному окладу и тарифной ставке ежемесячное материальное поощрение  за выполнение трудовых функций при соблюдении работниками </w:t>
      </w:r>
      <w:bookmarkStart w:id="8" w:name="_Hlk333435938"/>
      <w:r>
        <w:rPr>
          <w:rFonts w:cs="Times New Roman" w:ascii="Times New Roman" w:hAnsi="Times New Roman"/>
          <w:sz w:val="24"/>
          <w:szCs w:val="24"/>
        </w:rPr>
        <w:t>установленных показателей и условий премирования</w:t>
      </w:r>
      <w:bookmarkEnd w:id="8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 Премирование работников ТСЖ может производиться за счёт средств на оплату труда в пределах  фонда оплаты труда предусмотренной в смете расходов Товарищества, утверждённой решением общего собрания членов Товарищества.</w:t>
      </w:r>
    </w:p>
    <w:p>
      <w:pPr>
        <w:pStyle w:val="Normal"/>
        <w:ind w:left="0" w:right="0" w:firstLine="851"/>
        <w:jc w:val="both"/>
        <w:rPr/>
      </w:pPr>
      <w:r>
        <w:rPr/>
        <w:t xml:space="preserve">3.2.2 Размер премии устанавливается каждому Работнику в процентах от размера основной заработной платы того периода, за который осуществляется премирование. </w:t>
      </w:r>
    </w:p>
    <w:p>
      <w:pPr>
        <w:pStyle w:val="Normal"/>
        <w:ind w:left="0" w:right="0" w:firstLine="851"/>
        <w:jc w:val="both"/>
        <w:rPr/>
      </w:pPr>
      <w:r>
        <w:rPr/>
        <w:t>3.2.3. При невыполнении Работником установленных показателей и условий премирования премия может быть снижена или не выплачиваться.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Доплата к должностному окладу  выплачивается Работникам на основании приказа Председателя Правления Товарищества или его заместителя в пределах  фонда оплаты труда, предусмотренного в смете расходов Товарищества, утверждённой решением общего собрания членов Товарищества.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3.3.1. Доплата при совмещении профессий и должностей устанавливается  Работникам   в случае, когда наименование совмещаемой и основной профессии (должности) отличаются друг от друга, или за исполнение обязанностей  временно отсутствующего работника без освобождения от своей основной работы – устанавливается по соглашению сторон трудового договора (ст. 151 ТК РФ).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3.3.2. Доплата за расширение зон обслуживания (увеличение объёма выполняемой работы) оформляется в случае, когда наименование основной и дополнительной профессии (должности) совпадают. </w:t>
      </w:r>
    </w:p>
    <w:p>
      <w:pPr>
        <w:pStyle w:val="Normal"/>
        <w:ind w:left="0" w:right="0" w:firstLine="851"/>
        <w:jc w:val="both"/>
        <w:rPr/>
      </w:pPr>
      <w:r>
        <w:rPr/>
        <w:t>3.3.3. Доплата при замещении временно отсутствующего работника  производиться 100%.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3.4. Срок, в течение которого работник будет выполнять дополнительную работу, ее содержание и объем устанавливаются Работодателем с письменного согласия работника. Работник имеет право досрочно отказаться от выполнения дополнительной работы, а работодатель – досрочно отменить поручение о ее выполнении, предупредив об этом другую сторону в письменной форме не позднее, чем за три рабочих дня.</w:t>
      </w:r>
    </w:p>
    <w:p>
      <w:pPr>
        <w:pStyle w:val="Normal"/>
        <w:ind w:left="0" w:right="0" w:firstLine="851"/>
        <w:jc w:val="both"/>
        <w:rPr/>
      </w:pPr>
      <w:r>
        <w:rPr/>
        <w:t>3.5. Определение размеров заработной платы по основной и совмещаемой должностям (видам работ), а также по должности, занимаемой в порядке совместительства, производиться раздельно по каждой из должностей (виду работ).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3.6. Привлечение работника к сверхурочной работе регулируется положениями трудового законодательства Российской Федерации. Сверхурочные работы не должны превышать для каждого работника четырёх часов в течение двух дней подряд и 120 часов в год.</w:t>
      </w:r>
    </w:p>
    <w:p>
      <w:pPr>
        <w:pStyle w:val="ConsNormal"/>
        <w:widowControl/>
        <w:ind w:left="0" w:right="0" w:hanging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</w:t>
      </w:r>
    </w:p>
    <w:p>
      <w:pPr>
        <w:pStyle w:val="Normal"/>
        <w:jc w:val="center"/>
        <w:rPr>
          <w:b/>
        </w:rPr>
      </w:pPr>
      <w:r>
        <w:rPr>
          <w:b/>
        </w:rPr>
        <w:t>4. Порядок начисления и выплата премии</w:t>
      </w:r>
    </w:p>
    <w:p>
      <w:pPr>
        <w:pStyle w:val="Normal"/>
        <w:ind w:left="0" w:right="0" w:firstLine="851"/>
        <w:jc w:val="both"/>
        <w:rPr/>
      </w:pPr>
      <w:r>
        <w:rPr/>
        <w:t>4.1. Месячная премия работникам Товарищества начисляется на заработок работника за истекший месяц в соответствии с отработанным временем (за исключением сумм оплаты листов нетрудоспособности,  невыход на работу по неуважительным причинам).</w:t>
      </w:r>
    </w:p>
    <w:p>
      <w:pPr>
        <w:pStyle w:val="Normal"/>
        <w:ind w:left="0" w:right="0" w:firstLine="851"/>
        <w:jc w:val="both"/>
        <w:rPr/>
      </w:pPr>
      <w:r>
        <w:rPr/>
        <w:t>4.2. Выплата месячных премий производится Работникам на основании Приказа Председателя Правления Товарищества или его заместителя, действующего с момента начала действия трудового договора в течение всего периода его действия.</w:t>
      </w:r>
    </w:p>
    <w:p>
      <w:pPr>
        <w:pStyle w:val="Normal"/>
        <w:ind w:left="0" w:right="0" w:firstLine="851"/>
        <w:jc w:val="both"/>
        <w:rPr/>
      </w:pPr>
      <w:r>
        <w:rPr/>
        <w:t>4.3. Выплата премии производиться вместе с заработной платой за отчётный месяц.</w:t>
      </w:r>
    </w:p>
    <w:p>
      <w:pPr>
        <w:pStyle w:val="Normal"/>
        <w:ind w:left="0" w:right="0" w:firstLine="851"/>
        <w:jc w:val="both"/>
        <w:rPr/>
      </w:pPr>
      <w:r>
        <w:rPr/>
        <w:t>4.4. В связи со спецификой работы в ТСЖ процент премии может устанавливаться различным для Работников.</w:t>
      </w:r>
    </w:p>
    <w:p>
      <w:pPr>
        <w:pStyle w:val="Normal"/>
        <w:ind w:left="0" w:right="0" w:firstLine="851"/>
        <w:jc w:val="both"/>
        <w:rPr/>
      </w:pPr>
      <w:r>
        <w:rPr/>
        <w:t>4.5. Работникам, вновь поступившим на работу либо уволившимся в течение отчётного периода, премия выплачивается за фактически отработанное время, независимо от времени поступления или увольнения по представлению руководителя.</w:t>
      </w:r>
    </w:p>
    <w:p>
      <w:pPr>
        <w:pStyle w:val="Normal"/>
        <w:ind w:left="0" w:right="0" w:firstLine="851"/>
        <w:jc w:val="both"/>
        <w:rPr/>
      </w:pPr>
      <w:r>
        <w:rPr/>
        <w:t>4.6. Премии, выплачиваемые по настоящему Положению, относятся к системным видам оплаты за счёт фонда оплаты труда и учитываются при всех расчётах среднего заработка работника.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5. Порядок снижения премии</w:t>
      </w:r>
    </w:p>
    <w:p>
      <w:pPr>
        <w:pStyle w:val="Normal"/>
        <w:ind w:left="0" w:right="0" w:firstLine="851"/>
        <w:rPr/>
      </w:pPr>
      <w:r>
        <w:rPr/>
        <w:t>5.1. Месячная премия может быть не выплачена или уменьшен её размер работникам, допустившим следующие упущения в работе:</w:t>
      </w:r>
    </w:p>
    <w:p>
      <w:pPr>
        <w:pStyle w:val="Normal"/>
        <w:ind w:left="0" w:right="0" w:firstLine="851"/>
        <w:rPr/>
      </w:pPr>
      <w:r>
        <w:rPr/>
        <w:t>5.1.1. Главному бухгалтеру процент премии может быть снижен в случае:</w:t>
      </w:r>
    </w:p>
    <w:p>
      <w:pPr>
        <w:pStyle w:val="Normal"/>
        <w:rPr/>
      </w:pPr>
      <w:r>
        <w:rPr/>
        <w:t>- задержка данных статистической и иной отчётности до 10%;</w:t>
      </w:r>
    </w:p>
    <w:p>
      <w:pPr>
        <w:pStyle w:val="Normal"/>
        <w:rPr/>
      </w:pPr>
      <w:r>
        <w:rPr/>
        <w:t>- нарушение производственной и трудовой дисциплины до 100%;</w:t>
      </w:r>
    </w:p>
    <w:p>
      <w:pPr>
        <w:pStyle w:val="Normal"/>
        <w:rPr/>
      </w:pPr>
      <w:r>
        <w:rPr/>
        <w:t>- за несвоевременное принятие мер по устранению обоснованных замечаний до 50%;</w:t>
      </w:r>
    </w:p>
    <w:p>
      <w:pPr>
        <w:pStyle w:val="Normal"/>
        <w:rPr/>
      </w:pPr>
      <w:r>
        <w:rPr/>
        <w:t>- за несоблюдение сроков рассмотрения жалоб, заявлений до 10%;</w:t>
      </w:r>
    </w:p>
    <w:p>
      <w:pPr>
        <w:pStyle w:val="Normal"/>
        <w:rPr/>
      </w:pPr>
      <w:r>
        <w:rPr/>
        <w:t>- за невыполнение распоряжений председателя правления ТСЖ до 20%;</w:t>
        <w:br/>
        <w:t>- невыполнение обязанностей, предусмотренных должностной инструкцией, правилами трудового распорядка до 100%;</w:t>
      </w:r>
    </w:p>
    <w:p>
      <w:pPr>
        <w:pStyle w:val="Normal"/>
        <w:rPr/>
      </w:pPr>
      <w:r>
        <w:rPr/>
        <w:t>- нарушение правил учёта, ведения журналов табелей, графиков и другой документации, действующих правил, положений до 10%;</w:t>
      </w:r>
    </w:p>
    <w:p>
      <w:pPr>
        <w:pStyle w:val="Normal"/>
        <w:rPr/>
      </w:pPr>
      <w:r>
        <w:rPr/>
        <w:t>- за нетактичное обращение с жильцами или коллегами по работе до 10%;</w:t>
      </w:r>
    </w:p>
    <w:p>
      <w:pPr>
        <w:pStyle w:val="Normal"/>
        <w:ind w:left="0" w:right="0" w:firstLine="851"/>
        <w:rPr/>
      </w:pPr>
      <w:r>
        <w:rPr/>
        <w:t>5.1.2. Работникам участка по благоустройству (дворники, уборщицы):</w:t>
      </w:r>
    </w:p>
    <w:p>
      <w:pPr>
        <w:pStyle w:val="Normal"/>
        <w:rPr/>
      </w:pPr>
      <w:r>
        <w:rPr/>
        <w:t xml:space="preserve">- некачественная уборка помещений и территории, закреплённых за работниками до 100%; </w:t>
      </w:r>
    </w:p>
    <w:p>
      <w:pPr>
        <w:pStyle w:val="Normal"/>
        <w:rPr/>
      </w:pPr>
      <w:r>
        <w:rPr/>
        <w:t>- за нарушение производственной и трудовой дисциплины до 100%;</w:t>
      </w:r>
    </w:p>
    <w:p>
      <w:pPr>
        <w:pStyle w:val="Normal"/>
        <w:rPr/>
      </w:pPr>
      <w:r>
        <w:rPr/>
        <w:t>- за нетактичное обращение с жильцами или коллегами по работе до 10%;</w:t>
      </w:r>
    </w:p>
    <w:p>
      <w:pPr>
        <w:pStyle w:val="Normal"/>
        <w:rPr/>
      </w:pPr>
      <w:r>
        <w:rPr/>
        <w:t>- невыполнение обязанностей, предусмотренных должностной инструкцией, правилами трудового распорядка до 100%.</w:t>
      </w:r>
    </w:p>
    <w:p>
      <w:pPr>
        <w:pStyle w:val="Normal"/>
        <w:ind w:left="0" w:right="0" w:firstLine="851"/>
        <w:rPr/>
      </w:pPr>
      <w:r>
        <w:rPr/>
        <w:t xml:space="preserve">5.2. Премии не выплачиваются Работникам, уволенных из ТСЖ «Мацоты,32» по пунктам 5, 6, 7,  9, 10, 11 ст. 81  ТК РФ.  </w:t>
      </w:r>
    </w:p>
    <w:p>
      <w:pPr>
        <w:pStyle w:val="Normal"/>
        <w:ind w:left="0" w:right="0" w:firstLine="851"/>
        <w:rPr/>
      </w:pPr>
      <w:r>
        <w:rPr/>
        <w:t>5.3. Премия выплачивается в уменьшенном размере либо не выплачивается за тот месяц, в котором был совершён проступок, послуживший основанием не поощрять работника, либо за месяц, в котором стало известно о таком проступке.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6. Порядок начисления единовременного поощрения</w:t>
      </w:r>
    </w:p>
    <w:p>
      <w:pPr>
        <w:pStyle w:val="Normal"/>
        <w:ind w:left="0" w:right="0" w:firstLine="851"/>
        <w:jc w:val="both"/>
        <w:rPr/>
      </w:pPr>
      <w:r>
        <w:rPr/>
        <w:t xml:space="preserve">6.1. Работники, проявившие особую инициативу, выполнившие мероприятия, связанные с непредвиденными обстоятельствами, предотвратившие нанесение ущерба </w:t>
      </w:r>
      <w:bookmarkStart w:id="9" w:name="_Hlk333436959"/>
      <w:r>
        <w:rPr/>
        <w:t>ТСЖ</w:t>
      </w:r>
      <w:bookmarkEnd w:id="9"/>
      <w:r>
        <w:rPr/>
        <w:t>, жителям в случае аварий и.т.п., могут дополнительно поощряться приказом Председателя.</w:t>
      </w:r>
    </w:p>
    <w:p>
      <w:pPr>
        <w:pStyle w:val="Normal"/>
        <w:ind w:left="0" w:right="0" w:firstLine="851"/>
        <w:jc w:val="both"/>
        <w:rPr/>
      </w:pPr>
      <w:r>
        <w:rPr/>
        <w:t>6.2. Размер единовременного поощрения определяется либо в процентах и может составлять до 25% от должностного оклада (тарифной ставки), либо конкретной суммой.</w:t>
      </w:r>
    </w:p>
    <w:p>
      <w:pPr>
        <w:pStyle w:val="ConsNormal"/>
        <w:widowControl/>
        <w:ind w:left="0" w:right="0" w:hanging="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</w:t>
      </w:r>
    </w:p>
    <w:p>
      <w:pPr>
        <w:pStyle w:val="ConsNormal"/>
        <w:widowControl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7. Выплата заработной платы, иных платежей 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7.1. Заработная плата начисляется работникам в размере и порядке предусмотренном </w:t>
      </w:r>
      <w:bookmarkStart w:id="10" w:name="_Hlk333437261"/>
      <w:r>
        <w:rPr>
          <w:rFonts w:cs="Times New Roman" w:ascii="Times New Roman" w:hAnsi="Times New Roman"/>
          <w:sz w:val="24"/>
          <w:szCs w:val="24"/>
        </w:rPr>
        <w:t xml:space="preserve">настоящим Положением </w:t>
      </w:r>
      <w:bookmarkEnd w:id="10"/>
      <w:r>
        <w:rPr>
          <w:rFonts w:cs="Times New Roman" w:ascii="Times New Roman" w:hAnsi="Times New Roman"/>
          <w:sz w:val="24"/>
          <w:szCs w:val="24"/>
        </w:rPr>
        <w:t>об оплате труда.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 Удержания из заработной платы работника производятся только в случаях, предусмотренных Трудовым кодексом РФ, настоящим Положением и иными федеральными законами.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7.3. При прекращении трудового договора выплата всех сумм, причитающихся работнику от работодателя, производится в день увольнения работника. В случае спора о размерах сумм, причитающихся работнику при увольнении, работодатель обязуется в указанный выше срок выплатить не оспариваемую им сумму (ст. 140 ТК РФ).</w:t>
      </w:r>
    </w:p>
    <w:p>
      <w:pPr>
        <w:pStyle w:val="Normal"/>
        <w:tabs>
          <w:tab w:val="left" w:pos="360" w:leader="none"/>
        </w:tabs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ConsNormal"/>
        <w:widowControl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Ответственность работодателя (</w:t>
      </w:r>
      <w:bookmarkStart w:id="11" w:name="_Hlk333707788"/>
      <w:r>
        <w:rPr>
          <w:rFonts w:cs="Times New Roman" w:ascii="Times New Roman" w:hAnsi="Times New Roman"/>
          <w:b/>
          <w:sz w:val="24"/>
          <w:szCs w:val="24"/>
        </w:rPr>
        <w:t>ст</w:t>
      </w:r>
      <w:bookmarkEnd w:id="11"/>
      <w:r>
        <w:rPr>
          <w:rFonts w:cs="Times New Roman" w:ascii="Times New Roman" w:hAnsi="Times New Roman"/>
          <w:b/>
          <w:sz w:val="24"/>
          <w:szCs w:val="24"/>
        </w:rPr>
        <w:t>. 142 ТК РФ)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За задержку выплаты заработной платы и другие нарушения оплаты труда работодатель несет ответственность в соответствии с трудовым законодательством РФ.</w:t>
      </w:r>
    </w:p>
    <w:p>
      <w:pPr>
        <w:pStyle w:val="ConsNormal"/>
        <w:widowControl/>
        <w:ind w:left="0" w:right="0" w:firstLine="851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8.2.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</w:t>
      </w:r>
    </w:p>
    <w:p>
      <w:pPr>
        <w:pStyle w:val="ConsNonformat1"/>
        <w:widowControl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9. Заключительные положения</w:t>
      </w:r>
    </w:p>
    <w:p>
      <w:pPr>
        <w:pStyle w:val="Normal"/>
        <w:ind w:left="0" w:right="0" w:firstLine="851"/>
        <w:jc w:val="both"/>
        <w:rPr/>
      </w:pPr>
      <w:r>
        <w:rPr/>
        <w:t xml:space="preserve">9.1. Настоящее положение вступает в силу с момента утверждения решением Общего собрания членов Товарищества и действует бессрочно. Все изменения и дополнения в настоящее Положение вносятся на основании решения Общего собрания членов Товарищества. </w:t>
      </w:r>
    </w:p>
    <w:p>
      <w:pPr>
        <w:pStyle w:val="Normal"/>
        <w:ind w:left="0" w:right="0" w:firstLine="851"/>
        <w:jc w:val="both"/>
        <w:rPr/>
      </w:pPr>
      <w:r>
        <w:rPr/>
        <w:t>9.2. Настоящее Положение применяется к трудовым отношениям, возникшим как до вступления его в действие, так и после вступления его в действие.</w:t>
      </w:r>
    </w:p>
    <w:p>
      <w:pPr>
        <w:pStyle w:val="Normal"/>
        <w:ind w:left="0" w:right="0" w:firstLine="851"/>
        <w:jc w:val="both"/>
        <w:rPr/>
      </w:pPr>
      <w:r>
        <w:rPr/>
      </w:r>
    </w:p>
    <w:p>
      <w:pPr>
        <w:pStyle w:val="Normal"/>
        <w:spacing w:lineRule="auto" w:line="360"/>
        <w:ind w:left="0" w:right="0" w:firstLine="851"/>
        <w:jc w:val="righ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Исполнитель:</w:t>
      </w:r>
      <w:r>
        <w:rPr>
          <w:sz w:val="22"/>
          <w:szCs w:val="22"/>
        </w:rPr>
        <w:t xml:space="preserve"> член правления ТСЖ </w:t>
      </w:r>
      <w:r>
        <w:rPr>
          <w:sz w:val="22"/>
          <w:szCs w:val="22"/>
        </w:rPr>
        <w:t>Петров И.П.</w:t>
      </w:r>
    </w:p>
    <w:p>
      <w:pPr>
        <w:pStyle w:val="Normal"/>
        <w:spacing w:lineRule="auto" w:line="360"/>
        <w:ind w:left="0" w:right="0" w:firstLine="851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тел:</w:t>
      </w:r>
      <w:r>
        <w:rPr>
          <w:i/>
          <w:iCs/>
          <w:sz w:val="22"/>
          <w:szCs w:val="22"/>
        </w:rPr>
        <w:t xml:space="preserve"> +7 9</w:t>
      </w:r>
      <w:r>
        <w:rPr>
          <w:i/>
          <w:iCs/>
          <w:sz w:val="22"/>
          <w:szCs w:val="22"/>
        </w:rPr>
        <w:t>00 000 00 00</w:t>
      </w:r>
    </w:p>
    <w:sectPr>
      <w:footerReference w:type="default" r:id="rId2"/>
      <w:type w:val="nextPage"/>
      <w:pgSz w:w="11906" w:h="16838"/>
      <w:pgMar w:left="1134" w:right="567" w:header="0" w:top="85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jc w:val="right"/>
      <w:rPr>
        <w:b/>
      </w:rPr>
    </w:pPr>
    <w:r>
      <w:rPr/>
      <w:t xml:space="preserve">Страница </w:t>
    </w:r>
    <w:r>
      <w:rPr>
        <w:b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из </w:t>
    </w:r>
    <w:r>
      <w:rPr>
        <w:b/>
      </w:rPr>
      <w:fldChar w:fldCharType="begin"/>
    </w:r>
    <w:r>
      <w:instrText> NUMPAGES </w:instrText>
    </w:r>
    <w:r>
      <w:fldChar w:fldCharType="separate"/>
    </w:r>
    <w:r>
      <w:t>4</w:t>
    </w:r>
    <w:r>
      <w:fldChar w:fldCharType="end"/>
    </w:r>
  </w:p>
  <w:p>
    <w:pPr>
      <w:pStyle w:val="Style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fals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 w:val="fals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 w:val="false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 w:val="false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 w:val="false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 w:val="false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QFormat="0" w:defUnhideWhenUsed="0" w:count="267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unhideWhenUsed="1" w:semiHidden="1" w:name="heading 4"/>
    <w:lsdException w:qFormat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iPriority="99" w:name="footer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a65dd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2">
    <w:name w:val="Заголовок 2"/>
    <w:qFormat/>
    <w:rsid w:val="00ea0533"/>
    <w:basedOn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Заголовок 3"/>
    <w:qFormat/>
    <w:rsid w:val="00ea0533"/>
    <w:basedOn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Заголовок 5"/>
    <w:qFormat/>
    <w:rsid w:val="00c659c1"/>
    <w:basedOn w:val="Normal"/>
    <w:pPr>
      <w:outlineLvl w:val="4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qFormat/>
    <w:rsid w:val="00a65dd3"/>
    <w:basedOn w:val="DefaultParagraphFont"/>
    <w:rPr>
      <w:b/>
      <w:bCs/>
    </w:rPr>
  </w:style>
  <w:style w:type="character" w:styleId="Appleconvertedspace" w:customStyle="1">
    <w:name w:val="apple-converted-space"/>
    <w:rsid w:val="00a65dd3"/>
    <w:basedOn w:val="DefaultParagraphFont"/>
    <w:rPr/>
  </w:style>
  <w:style w:type="character" w:styleId="Style11">
    <w:name w:val="Выделение"/>
    <w:qFormat/>
    <w:rsid w:val="00525a83"/>
    <w:basedOn w:val="DefaultParagraphFont"/>
    <w:rPr>
      <w:i/>
      <w:iCs/>
    </w:rPr>
  </w:style>
  <w:style w:type="character" w:styleId="ConsNonformat" w:customStyle="1">
    <w:name w:val="ConsNonformat Знак"/>
    <w:link w:val="ConsNonformat"/>
    <w:rsid w:val="00ca38a4"/>
    <w:basedOn w:val="DefaultParagraphFont"/>
    <w:rPr>
      <w:rFonts w:ascii="Courier New" w:hAnsi="Courier New" w:cs="Courier New"/>
      <w:lang w:val="ru-RU" w:eastAsia="ru-RU" w:bidi="ar-SA"/>
    </w:rPr>
  </w:style>
  <w:style w:type="character" w:styleId="Style12" w:customStyle="1">
    <w:name w:val="Верхний колонтитул Знак"/>
    <w:link w:val="a8"/>
    <w:rsid w:val="00c451ba"/>
    <w:basedOn w:val="DefaultParagraphFont"/>
    <w:rPr>
      <w:sz w:val="24"/>
      <w:szCs w:val="24"/>
    </w:rPr>
  </w:style>
  <w:style w:type="character" w:styleId="Style13" w:customStyle="1">
    <w:name w:val="Нижний колонтитул Знак"/>
    <w:uiPriority w:val="99"/>
    <w:link w:val="aa"/>
    <w:rsid w:val="00c451ba"/>
    <w:basedOn w:val="DefaultParagraphFont"/>
    <w:rPr>
      <w:sz w:val="24"/>
      <w:szCs w:val="24"/>
    </w:rPr>
  </w:style>
  <w:style w:type="character" w:styleId="ListLabel1">
    <w:name w:val="ListLabel 1"/>
    <w:rPr>
      <w:sz w:val="20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b w:val="false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rsid w:val="000c2621"/>
    <w:basedOn w:val="Normal"/>
    <w:pPr>
      <w:spacing w:lineRule="auto" w:line="288"/>
    </w:pPr>
    <w:rPr>
      <w:sz w:val="28"/>
    </w:rPr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ConsNormal" w:customStyle="1">
    <w:name w:val="ConsNormal"/>
    <w:rsid w:val="00a65dd3"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onsNonformat1" w:customStyle="1">
    <w:name w:val="ConsNonformat"/>
    <w:link w:val="ConsNonformat0"/>
    <w:rsid w:val="00a65dd3"/>
    <w:pPr>
      <w:widowControl w:val="false"/>
      <w:suppressAutoHyphens w:val="true"/>
      <w:bidi w:val="0"/>
      <w:jc w:val="left"/>
    </w:pPr>
    <w:rPr>
      <w:rFonts w:ascii="Courier New" w:hAnsi="Courier New" w:cs="Courier New" w:eastAsia="Times New Roman"/>
      <w:color w:val="auto"/>
      <w:sz w:val="20"/>
      <w:szCs w:val="20"/>
      <w:lang w:val="ru-RU" w:eastAsia="ru-RU" w:bidi="ar-SA"/>
    </w:rPr>
  </w:style>
  <w:style w:type="paragraph" w:styleId="ConsTitle" w:customStyle="1">
    <w:name w:val="ConsTitle"/>
    <w:rsid w:val="00a65dd3"/>
    <w:pPr>
      <w:widowControl w:val="false"/>
      <w:suppressAutoHyphens w:val="true"/>
      <w:bidi w:val="0"/>
      <w:jc w:val="left"/>
    </w:pPr>
    <w:rPr>
      <w:rFonts w:ascii="Arial" w:hAnsi="Arial" w:cs="Arial" w:eastAsia="Times New Roman"/>
      <w:b/>
      <w:bCs/>
      <w:color w:val="auto"/>
      <w:sz w:val="16"/>
      <w:szCs w:val="16"/>
      <w:lang w:val="ru-RU" w:eastAsia="ru-RU" w:bidi="ar-SA"/>
    </w:rPr>
  </w:style>
  <w:style w:type="paragraph" w:styleId="NormalWeb">
    <w:name w:val="Normal (Web)"/>
    <w:semiHidden/>
    <w:unhideWhenUsed/>
    <w:rsid w:val="00a65dd3"/>
    <w:basedOn w:val="Normal"/>
    <w:pPr>
      <w:spacing w:before="0" w:after="280"/>
    </w:pPr>
    <w:rPr>
      <w:sz w:val="23"/>
      <w:szCs w:val="23"/>
    </w:rPr>
  </w:style>
  <w:style w:type="paragraph" w:styleId="Formattexttopleveltext" w:customStyle="1">
    <w:name w:val="formattext topleveltext"/>
    <w:rsid w:val="00d512fc"/>
    <w:basedOn w:val="Normal"/>
    <w:pPr>
      <w:spacing w:before="0" w:after="280"/>
    </w:pPr>
    <w:rPr/>
  </w:style>
  <w:style w:type="paragraph" w:styleId="BodyText2">
    <w:name w:val="Body Text 2"/>
    <w:rsid w:val="00bd681e"/>
    <w:basedOn w:val="Normal"/>
    <w:pPr>
      <w:spacing w:lineRule="auto" w:line="480" w:before="0" w:after="120"/>
    </w:pPr>
    <w:rPr/>
  </w:style>
  <w:style w:type="paragraph" w:styleId="Style19">
    <w:name w:val="Верхний колонтитул"/>
    <w:link w:val="a9"/>
    <w:rsid w:val="00c451ba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0">
    <w:name w:val="Нижний колонтитул"/>
    <w:uiPriority w:val="99"/>
    <w:link w:val="ab"/>
    <w:rsid w:val="00c451ba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uiPriority w:val="34"/>
    <w:qFormat/>
    <w:rsid w:val="00c451ba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36e36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1F05-3A39-4710-82A7-DA2D7B40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2012-08-22T17:20:00Z</dcterms:created>
  <dc:creator>Admin</dc:creator>
  <dc:language>ru-RU</dc:language>
  <cp:lastModifiedBy>Lina</cp:lastModifiedBy>
  <cp:lastPrinted>2012-05-14T13:38:00Z</cp:lastPrinted>
  <dcterms:modified xsi:type="dcterms:W3CDTF">2012-10-14T08:27:00Z</dcterms:modified>
  <cp:revision>20</cp:revision>
</cp:coreProperties>
</file>